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3F735FC0" w14:textId="7CCFF02B" w:rsidR="00BD5960" w:rsidRDefault="00BD5960" w:rsidP="00BD5960">
      <w:r>
        <w:t xml:space="preserve">Poziv za dostavljanje ponuda za </w:t>
      </w:r>
      <w:r w:rsidR="00AF3C13" w:rsidRPr="00AF3C13">
        <w:rPr>
          <w:b/>
          <w:bCs/>
        </w:rPr>
        <w:t>Usluge marketinga i promocije u okviru projekta „BOOST Projekat“</w:t>
      </w:r>
    </w:p>
    <w:p w14:paraId="568DF858" w14:textId="13951409" w:rsidR="00EE6F49" w:rsidRDefault="00BD5960" w:rsidP="00BD5960">
      <w:r>
        <w:t xml:space="preserve">Broj nabavke: </w:t>
      </w:r>
      <w:r w:rsidR="00AF3C13" w:rsidRPr="00AF3C13">
        <w:t>FICG-3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</w:t>
      </w:r>
      <w:proofErr w:type="spellStart"/>
      <w:r w:rsidRPr="00BD5960">
        <w:rPr>
          <w:b/>
          <w:bCs/>
        </w:rPr>
        <w:t>sledećim</w:t>
      </w:r>
      <w:proofErr w:type="spellEnd"/>
      <w:r w:rsidRPr="00BD5960">
        <w:rPr>
          <w:b/>
          <w:bCs/>
        </w:rPr>
        <w:t xml:space="preserve">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proofErr w:type="spellStart"/>
      <w:r w:rsidRPr="00191BA9">
        <w:rPr>
          <w:b/>
          <w:bCs/>
        </w:rPr>
        <w:t>definišući</w:t>
      </w:r>
      <w:proofErr w:type="spellEnd"/>
      <w:r w:rsidRPr="00191BA9">
        <w:rPr>
          <w:b/>
          <w:bCs/>
        </w:rPr>
        <w:t xml:space="preserve">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</w:t>
      </w:r>
      <w:proofErr w:type="spellStart"/>
      <w:r w:rsidRPr="00BD5960">
        <w:rPr>
          <w:b/>
          <w:bCs/>
        </w:rPr>
        <w:t>evaluatorima</w:t>
      </w:r>
      <w:proofErr w:type="spellEnd"/>
      <w:r w:rsidRPr="00BD5960">
        <w:rPr>
          <w:b/>
          <w:bCs/>
        </w:rPr>
        <w:t xml:space="preserve"> bilo jasno koja je </w:t>
      </w:r>
      <w:proofErr w:type="spellStart"/>
      <w:r w:rsidRPr="00BD5960">
        <w:rPr>
          <w:b/>
          <w:bCs/>
        </w:rPr>
        <w:t>tačna</w:t>
      </w:r>
      <w:proofErr w:type="spellEnd"/>
      <w:r w:rsidRPr="00BD5960">
        <w:rPr>
          <w:b/>
          <w:bCs/>
        </w:rPr>
        <w:t xml:space="preserve"> konfiguracija. Ponude koje ne omogućavaju precizno </w:t>
      </w:r>
      <w:proofErr w:type="spellStart"/>
      <w:r w:rsidRPr="00BD5960">
        <w:rPr>
          <w:b/>
          <w:bCs/>
        </w:rPr>
        <w:t>identifikovanje</w:t>
      </w:r>
      <w:proofErr w:type="spellEnd"/>
      <w:r w:rsidRPr="00BD5960">
        <w:rPr>
          <w:b/>
          <w:bCs/>
        </w:rPr>
        <w:t xml:space="preserve">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Ponuda mora biti dovoljno jasna da omogući </w:t>
      </w:r>
      <w:proofErr w:type="spellStart"/>
      <w:r w:rsidRPr="00BD5960">
        <w:rPr>
          <w:b/>
          <w:bCs/>
        </w:rPr>
        <w:t>evaluatorima</w:t>
      </w:r>
      <w:proofErr w:type="spellEnd"/>
      <w:r w:rsidRPr="00BD5960">
        <w:rPr>
          <w:b/>
          <w:bCs/>
        </w:rPr>
        <w:t xml:space="preserve"> lako </w:t>
      </w:r>
      <w:proofErr w:type="spellStart"/>
      <w:r w:rsidRPr="00BD5960">
        <w:rPr>
          <w:b/>
          <w:bCs/>
        </w:rPr>
        <w:t>upoređivanje</w:t>
      </w:r>
      <w:proofErr w:type="spellEnd"/>
      <w:r w:rsidRPr="00BD5960">
        <w:rPr>
          <w:b/>
          <w:bCs/>
        </w:rPr>
        <w:t xml:space="preserve">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47F436DD" w:rsidR="00653A94" w:rsidRPr="00653A94" w:rsidRDefault="00653A94" w:rsidP="00653A94">
      <w:pPr>
        <w:jc w:val="center"/>
        <w:rPr>
          <w:color w:val="2F5496" w:themeColor="accent1" w:themeShade="BF"/>
          <w:u w:val="single"/>
        </w:rPr>
      </w:pP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6238" w:rsidRPr="00586238" w14:paraId="43D0229D" w14:textId="4A8E2903" w:rsidTr="00586238">
        <w:tc>
          <w:tcPr>
            <w:tcW w:w="935" w:type="dxa"/>
          </w:tcPr>
          <w:p w14:paraId="683A4E53" w14:textId="2443F1E2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0B503D3A" w14:textId="2A6529C8" w:rsidR="00586238" w:rsidRPr="00586238" w:rsidRDefault="00AF3C13" w:rsidP="00AF3C13">
            <w:pPr>
              <w:spacing w:after="120" w:line="259" w:lineRule="auto"/>
              <w:jc w:val="both"/>
              <w:rPr>
                <w:rFonts w:cstheme="minorHAnsi"/>
              </w:rPr>
            </w:pPr>
            <w:r w:rsidRPr="005E2DF8">
              <w:rPr>
                <w:rFonts w:cstheme="minorHAnsi"/>
                <w:b/>
                <w:bCs/>
              </w:rPr>
              <w:t>Izrada sveobuhvatne</w:t>
            </w:r>
            <w:r w:rsidRPr="00AF3C13">
              <w:rPr>
                <w:rFonts w:cstheme="minorHAnsi"/>
              </w:rPr>
              <w:t xml:space="preserve"> </w:t>
            </w:r>
            <w:r w:rsidRPr="005E2DF8">
              <w:rPr>
                <w:rFonts w:cstheme="minorHAnsi"/>
                <w:b/>
                <w:bCs/>
              </w:rPr>
              <w:t>marketinške strategije</w:t>
            </w:r>
            <w:r w:rsidRPr="00AF3C13">
              <w:rPr>
                <w:rFonts w:cstheme="minorHAnsi"/>
              </w:rPr>
              <w:t xml:space="preserve"> za BOOST</w:t>
            </w:r>
            <w:r w:rsidR="005E2DF8">
              <w:rPr>
                <w:rFonts w:cstheme="minorHAnsi"/>
              </w:rPr>
              <w:t xml:space="preserve"> Project</w:t>
            </w:r>
            <w:r w:rsidRPr="00AF3C13">
              <w:rPr>
                <w:rFonts w:cstheme="minorHAnsi"/>
              </w:rPr>
              <w:t xml:space="preserve"> platformu, uključujući analizu tržišta, </w:t>
            </w:r>
            <w:proofErr w:type="spellStart"/>
            <w:r w:rsidRPr="00AF3C13">
              <w:rPr>
                <w:rFonts w:cstheme="minorHAnsi"/>
              </w:rPr>
              <w:t>definisanje</w:t>
            </w:r>
            <w:proofErr w:type="spellEnd"/>
            <w:r w:rsidRPr="00AF3C13">
              <w:rPr>
                <w:rFonts w:cstheme="minorHAnsi"/>
              </w:rPr>
              <w:t xml:space="preserve"> ciljn</w:t>
            </w:r>
            <w:r w:rsidR="005E2DF8">
              <w:rPr>
                <w:rFonts w:cstheme="minorHAnsi"/>
              </w:rPr>
              <w:t>ih</w:t>
            </w:r>
            <w:r w:rsidRPr="00AF3C13">
              <w:rPr>
                <w:rFonts w:cstheme="minorHAnsi"/>
              </w:rPr>
              <w:t xml:space="preserve"> grup</w:t>
            </w:r>
            <w:r w:rsidR="005E2DF8">
              <w:rPr>
                <w:rFonts w:cstheme="minorHAnsi"/>
              </w:rPr>
              <w:t>a</w:t>
            </w:r>
            <w:r w:rsidRPr="00AF3C13">
              <w:rPr>
                <w:rFonts w:cstheme="minorHAnsi"/>
              </w:rPr>
              <w:t>, pozicioniranje brenda i plan komunikacije (1</w:t>
            </w:r>
            <w:r w:rsidR="00501DFB">
              <w:rPr>
                <w:rFonts w:cstheme="minorHAnsi"/>
              </w:rPr>
              <w:t>5</w:t>
            </w:r>
            <w:r w:rsidRPr="00AF3C13">
              <w:rPr>
                <w:rFonts w:cstheme="minorHAnsi"/>
              </w:rPr>
              <w:t xml:space="preserve"> </w:t>
            </w:r>
            <w:proofErr w:type="spellStart"/>
            <w:r w:rsidRPr="00AF3C13">
              <w:rPr>
                <w:rFonts w:cstheme="minorHAnsi"/>
              </w:rPr>
              <w:t>ekspertskih</w:t>
            </w:r>
            <w:proofErr w:type="spellEnd"/>
            <w:r w:rsidRPr="00AF3C13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2049A1C7" w14:textId="007AD2C2" w:rsidR="00586238" w:rsidRPr="00586238" w:rsidRDefault="00586238" w:rsidP="00AF3C13">
            <w:pPr>
              <w:spacing w:after="12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37716DB" w14:textId="77777777" w:rsidR="00586238" w:rsidRPr="00586238" w:rsidRDefault="00586238" w:rsidP="00AF3C13">
            <w:pPr>
              <w:spacing w:after="120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297757A0" w14:textId="7E301D9F" w:rsidTr="00586238">
        <w:tc>
          <w:tcPr>
            <w:tcW w:w="935" w:type="dxa"/>
          </w:tcPr>
          <w:p w14:paraId="4B64191A" w14:textId="5DA3270B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341" w:type="dxa"/>
          </w:tcPr>
          <w:p w14:paraId="22CCBA47" w14:textId="06009A6D" w:rsidR="00586238" w:rsidRPr="00586238" w:rsidRDefault="005E2DF8" w:rsidP="00AF3C13">
            <w:pPr>
              <w:spacing w:after="120" w:line="259" w:lineRule="auto"/>
              <w:jc w:val="both"/>
              <w:rPr>
                <w:rFonts w:cstheme="minorHAnsi"/>
              </w:rPr>
            </w:pPr>
            <w:r w:rsidRPr="005E2DF8">
              <w:rPr>
                <w:rFonts w:cstheme="minorHAnsi"/>
                <w:b/>
                <w:bCs/>
              </w:rPr>
              <w:t xml:space="preserve">Kreiranje </w:t>
            </w:r>
            <w:proofErr w:type="spellStart"/>
            <w:r w:rsidRPr="005E2DF8">
              <w:rPr>
                <w:rFonts w:cstheme="minorHAnsi"/>
                <w:b/>
                <w:bCs/>
              </w:rPr>
              <w:t>vizuelnog</w:t>
            </w:r>
            <w:proofErr w:type="spellEnd"/>
            <w:r w:rsidRPr="005E2DF8">
              <w:rPr>
                <w:rFonts w:cstheme="minorHAnsi"/>
                <w:b/>
                <w:bCs/>
              </w:rPr>
              <w:t xml:space="preserve"> identiteta i promotivnih materijala</w:t>
            </w:r>
            <w:r w:rsidRPr="005E2DF8">
              <w:rPr>
                <w:rFonts w:cstheme="minorHAnsi"/>
              </w:rPr>
              <w:t xml:space="preserve"> (brošure, prezentacije, digitalni </w:t>
            </w:r>
            <w:proofErr w:type="spellStart"/>
            <w:r w:rsidRPr="005E2DF8">
              <w:rPr>
                <w:rFonts w:cstheme="minorHAnsi"/>
              </w:rPr>
              <w:t>baneri</w:t>
            </w:r>
            <w:proofErr w:type="spellEnd"/>
            <w:r w:rsidRPr="005E2DF8">
              <w:rPr>
                <w:rFonts w:cstheme="minorHAnsi"/>
              </w:rPr>
              <w:t xml:space="preserve">, </w:t>
            </w:r>
            <w:proofErr w:type="spellStart"/>
            <w:r w:rsidRPr="005E2DF8">
              <w:rPr>
                <w:rFonts w:cstheme="minorHAnsi"/>
              </w:rPr>
              <w:t>infografici</w:t>
            </w:r>
            <w:proofErr w:type="spellEnd"/>
            <w:r w:rsidRPr="005E2DF8">
              <w:rPr>
                <w:rFonts w:cstheme="minorHAnsi"/>
              </w:rPr>
              <w:t>) u skladu sa brendom BOOST</w:t>
            </w:r>
            <w:r>
              <w:rPr>
                <w:rFonts w:cstheme="minorHAnsi"/>
              </w:rPr>
              <w:t xml:space="preserve"> Project</w:t>
            </w:r>
            <w:r w:rsidRPr="005E2DF8">
              <w:rPr>
                <w:rFonts w:cstheme="minorHAnsi"/>
              </w:rPr>
              <w:t xml:space="preserve"> platforme (1</w:t>
            </w:r>
            <w:r w:rsidR="00501DFB">
              <w:rPr>
                <w:rFonts w:cstheme="minorHAnsi"/>
              </w:rPr>
              <w:t>3</w:t>
            </w:r>
            <w:r w:rsidRPr="005E2DF8">
              <w:rPr>
                <w:rFonts w:cstheme="minorHAnsi"/>
              </w:rPr>
              <w:t xml:space="preserve"> </w:t>
            </w:r>
            <w:proofErr w:type="spellStart"/>
            <w:r w:rsidRPr="005E2DF8">
              <w:rPr>
                <w:rFonts w:cstheme="minorHAnsi"/>
              </w:rPr>
              <w:t>ekspertskih</w:t>
            </w:r>
            <w:proofErr w:type="spellEnd"/>
            <w:r w:rsidRPr="005E2DF8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2312F615" w14:textId="02F41846" w:rsidR="00586238" w:rsidRPr="00586238" w:rsidRDefault="00586238" w:rsidP="00AF3C13">
            <w:pPr>
              <w:spacing w:after="12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17CECA9" w14:textId="77777777" w:rsidR="00586238" w:rsidRPr="00586238" w:rsidRDefault="00586238" w:rsidP="00AF3C13">
            <w:pPr>
              <w:spacing w:after="120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0F2F5F22" w14:textId="27CA0772" w:rsidTr="00586238">
        <w:tc>
          <w:tcPr>
            <w:tcW w:w="935" w:type="dxa"/>
          </w:tcPr>
          <w:p w14:paraId="2EDE004D" w14:textId="571DB6D3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41" w:type="dxa"/>
          </w:tcPr>
          <w:p w14:paraId="6269605A" w14:textId="603106FC" w:rsidR="00586238" w:rsidRPr="00586238" w:rsidRDefault="005E2DF8" w:rsidP="00AF3C13">
            <w:pPr>
              <w:spacing w:after="120" w:line="259" w:lineRule="auto"/>
              <w:jc w:val="both"/>
              <w:rPr>
                <w:rFonts w:cstheme="minorHAnsi"/>
              </w:rPr>
            </w:pPr>
            <w:r w:rsidRPr="005E2DF8">
              <w:rPr>
                <w:rFonts w:cstheme="minorHAnsi"/>
                <w:b/>
                <w:bCs/>
              </w:rPr>
              <w:t>Planiranje i sprovođenje digitalnih marketinških kampanja</w:t>
            </w:r>
            <w:r w:rsidRPr="005E2DF8">
              <w:rPr>
                <w:rFonts w:cstheme="minorHAnsi"/>
              </w:rPr>
              <w:t xml:space="preserve"> (društvene mreže, Google </w:t>
            </w:r>
            <w:proofErr w:type="spellStart"/>
            <w:r w:rsidRPr="005E2DF8">
              <w:rPr>
                <w:rFonts w:cstheme="minorHAnsi"/>
              </w:rPr>
              <w:t>Ads</w:t>
            </w:r>
            <w:proofErr w:type="spellEnd"/>
            <w:r w:rsidRPr="005E2DF8">
              <w:rPr>
                <w:rFonts w:cstheme="minorHAnsi"/>
              </w:rPr>
              <w:t>, LinkedIn), uključujući optimizaciju sadržaja i praćenje rezultata (</w:t>
            </w:r>
            <w:r w:rsidR="00501DFB">
              <w:rPr>
                <w:rFonts w:cstheme="minorHAnsi"/>
              </w:rPr>
              <w:t>30</w:t>
            </w:r>
            <w:r w:rsidRPr="005E2DF8">
              <w:rPr>
                <w:rFonts w:cstheme="minorHAnsi"/>
              </w:rPr>
              <w:t xml:space="preserve"> </w:t>
            </w:r>
            <w:proofErr w:type="spellStart"/>
            <w:r w:rsidRPr="005E2DF8">
              <w:rPr>
                <w:rFonts w:cstheme="minorHAnsi"/>
              </w:rPr>
              <w:t>ekspertskih</w:t>
            </w:r>
            <w:proofErr w:type="spellEnd"/>
            <w:r w:rsidRPr="005E2DF8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7FA2449E" w14:textId="6953E6F5" w:rsidR="00586238" w:rsidRPr="00586238" w:rsidRDefault="00586238" w:rsidP="00AF3C13">
            <w:pPr>
              <w:spacing w:after="12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D83027E" w14:textId="77777777" w:rsidR="00586238" w:rsidRPr="00586238" w:rsidRDefault="00586238" w:rsidP="00AF3C13">
            <w:pPr>
              <w:spacing w:after="120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3FFEF0B3" w14:textId="033B0CCD" w:rsidTr="00586238">
        <w:tc>
          <w:tcPr>
            <w:tcW w:w="935" w:type="dxa"/>
          </w:tcPr>
          <w:p w14:paraId="413C3470" w14:textId="29FB90B9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41" w:type="dxa"/>
          </w:tcPr>
          <w:p w14:paraId="27614709" w14:textId="53E5E503" w:rsidR="00586238" w:rsidRPr="00586238" w:rsidRDefault="005E2DF8" w:rsidP="00AF3C13">
            <w:pPr>
              <w:spacing w:after="120" w:line="259" w:lineRule="auto"/>
              <w:jc w:val="both"/>
              <w:rPr>
                <w:rFonts w:cstheme="minorHAnsi"/>
              </w:rPr>
            </w:pPr>
            <w:r w:rsidRPr="005E2DF8">
              <w:rPr>
                <w:rFonts w:cstheme="minorHAnsi"/>
                <w:b/>
                <w:bCs/>
              </w:rPr>
              <w:t>Aktivnosti odnosa s javnošću</w:t>
            </w:r>
            <w:r w:rsidRPr="005E2DF8">
              <w:rPr>
                <w:rFonts w:cstheme="minorHAnsi"/>
              </w:rPr>
              <w:t xml:space="preserve">: priprema saopštenja, organizacija medijskih objava i kontakt sa relevantnim medijima i portalima (10 </w:t>
            </w:r>
            <w:proofErr w:type="spellStart"/>
            <w:r w:rsidRPr="005E2DF8">
              <w:rPr>
                <w:rFonts w:cstheme="minorHAnsi"/>
              </w:rPr>
              <w:t>ekspertskih</w:t>
            </w:r>
            <w:proofErr w:type="spellEnd"/>
            <w:r w:rsidRPr="005E2DF8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59EEFA23" w14:textId="52D02CD0" w:rsidR="00586238" w:rsidRPr="00586238" w:rsidRDefault="00586238" w:rsidP="00AF3C13">
            <w:pPr>
              <w:spacing w:after="12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E1A15D4" w14:textId="77777777" w:rsidR="00586238" w:rsidRPr="00586238" w:rsidRDefault="00586238" w:rsidP="00AF3C13">
            <w:pPr>
              <w:spacing w:after="120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46E27100" w14:textId="7E7984D3" w:rsidTr="00586238">
        <w:tc>
          <w:tcPr>
            <w:tcW w:w="935" w:type="dxa"/>
          </w:tcPr>
          <w:p w14:paraId="5015AC2C" w14:textId="620493BC" w:rsidR="00586238" w:rsidRPr="00586238" w:rsidRDefault="00AF3C13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341" w:type="dxa"/>
          </w:tcPr>
          <w:p w14:paraId="3264D0A7" w14:textId="358F7A68" w:rsidR="00586238" w:rsidRPr="00586238" w:rsidRDefault="005E2DF8" w:rsidP="00AF3C13">
            <w:pPr>
              <w:spacing w:after="120" w:line="259" w:lineRule="auto"/>
              <w:jc w:val="both"/>
              <w:rPr>
                <w:rFonts w:cstheme="minorHAnsi"/>
              </w:rPr>
            </w:pPr>
            <w:r w:rsidRPr="005E2DF8">
              <w:rPr>
                <w:rFonts w:cstheme="minorHAnsi"/>
                <w:b/>
                <w:bCs/>
              </w:rPr>
              <w:t xml:space="preserve">Organizacija promotivnih događaja i </w:t>
            </w:r>
            <w:proofErr w:type="spellStart"/>
            <w:r w:rsidRPr="005E2DF8">
              <w:rPr>
                <w:rFonts w:cstheme="minorHAnsi"/>
                <w:b/>
                <w:bCs/>
              </w:rPr>
              <w:t>webinara</w:t>
            </w:r>
            <w:proofErr w:type="spellEnd"/>
            <w:r w:rsidRPr="005E2DF8">
              <w:rPr>
                <w:rFonts w:cstheme="minorHAnsi"/>
              </w:rPr>
              <w:t xml:space="preserve">: planiranje, logistika, </w:t>
            </w:r>
            <w:proofErr w:type="spellStart"/>
            <w:r w:rsidRPr="005E2DF8">
              <w:rPr>
                <w:rFonts w:cstheme="minorHAnsi"/>
              </w:rPr>
              <w:t>moderacija</w:t>
            </w:r>
            <w:proofErr w:type="spellEnd"/>
            <w:r w:rsidRPr="005E2DF8">
              <w:rPr>
                <w:rFonts w:cstheme="minorHAnsi"/>
              </w:rPr>
              <w:t xml:space="preserve"> i evaluacija učinka (12 </w:t>
            </w:r>
            <w:proofErr w:type="spellStart"/>
            <w:r w:rsidRPr="005E2DF8">
              <w:rPr>
                <w:rFonts w:cstheme="minorHAnsi"/>
              </w:rPr>
              <w:t>ekspertskih</w:t>
            </w:r>
            <w:proofErr w:type="spellEnd"/>
            <w:r w:rsidRPr="005E2DF8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60A57766" w14:textId="1754170F" w:rsidR="00586238" w:rsidRPr="00586238" w:rsidRDefault="00586238" w:rsidP="00AF3C13">
            <w:pPr>
              <w:spacing w:after="12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77995C0" w14:textId="77777777" w:rsidR="00586238" w:rsidRPr="00586238" w:rsidRDefault="00586238" w:rsidP="00AF3C13">
            <w:pPr>
              <w:spacing w:after="120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AF3C13" w:rsidRPr="00AF3C13" w14:paraId="275885D0" w14:textId="77777777" w:rsidTr="00586238">
        <w:tc>
          <w:tcPr>
            <w:tcW w:w="935" w:type="dxa"/>
          </w:tcPr>
          <w:p w14:paraId="2F886ACF" w14:textId="0A1233A3" w:rsidR="00AF3C13" w:rsidRDefault="00AF3C13" w:rsidP="00AF3C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41" w:type="dxa"/>
          </w:tcPr>
          <w:p w14:paraId="1F765128" w14:textId="5C57CB36" w:rsidR="00AF3C13" w:rsidRPr="00586238" w:rsidRDefault="005E2DF8" w:rsidP="00AF3C13">
            <w:pPr>
              <w:spacing w:after="120"/>
              <w:jc w:val="both"/>
              <w:rPr>
                <w:rFonts w:cstheme="minorHAnsi"/>
              </w:rPr>
            </w:pPr>
            <w:r w:rsidRPr="005E2DF8">
              <w:rPr>
                <w:rFonts w:cstheme="minorHAnsi"/>
                <w:b/>
                <w:bCs/>
              </w:rPr>
              <w:t>Izrada prodajne strategije i upravljanje prodajnim procesom</w:t>
            </w:r>
            <w:r w:rsidRPr="005E2DF8">
              <w:rPr>
                <w:rFonts w:cstheme="minorHAnsi"/>
              </w:rPr>
              <w:t xml:space="preserve"> (</w:t>
            </w:r>
            <w:proofErr w:type="spellStart"/>
            <w:r w:rsidRPr="005E2DF8">
              <w:rPr>
                <w:rFonts w:cstheme="minorHAnsi"/>
              </w:rPr>
              <w:t>pipeline</w:t>
            </w:r>
            <w:proofErr w:type="spellEnd"/>
            <w:r w:rsidRPr="005E2DF8">
              <w:rPr>
                <w:rFonts w:cstheme="minorHAnsi"/>
              </w:rPr>
              <w:t xml:space="preserve"> management), uključujući </w:t>
            </w:r>
            <w:proofErr w:type="spellStart"/>
            <w:r w:rsidRPr="005E2DF8">
              <w:rPr>
                <w:rFonts w:cstheme="minorHAnsi"/>
              </w:rPr>
              <w:t>definisanje</w:t>
            </w:r>
            <w:proofErr w:type="spellEnd"/>
            <w:r w:rsidRPr="005E2DF8">
              <w:rPr>
                <w:rFonts w:cstheme="minorHAnsi"/>
              </w:rPr>
              <w:t xml:space="preserve"> </w:t>
            </w:r>
            <w:r w:rsidRPr="005E2DF8">
              <w:rPr>
                <w:rFonts w:cstheme="minorHAnsi"/>
              </w:rPr>
              <w:lastRenderedPageBreak/>
              <w:t xml:space="preserve">CRM sistema i </w:t>
            </w:r>
            <w:proofErr w:type="spellStart"/>
            <w:r w:rsidRPr="005E2DF8">
              <w:rPr>
                <w:rFonts w:cstheme="minorHAnsi"/>
              </w:rPr>
              <w:t>target</w:t>
            </w:r>
            <w:proofErr w:type="spellEnd"/>
            <w:r w:rsidRPr="005E2DF8">
              <w:rPr>
                <w:rFonts w:cstheme="minorHAnsi"/>
              </w:rPr>
              <w:t xml:space="preserve"> liste potencijalnih klijenata (</w:t>
            </w:r>
            <w:r w:rsidR="00501DFB">
              <w:rPr>
                <w:rFonts w:cstheme="minorHAnsi"/>
              </w:rPr>
              <w:t>20</w:t>
            </w:r>
            <w:r w:rsidRPr="005E2DF8">
              <w:rPr>
                <w:rFonts w:cstheme="minorHAnsi"/>
              </w:rPr>
              <w:t xml:space="preserve"> </w:t>
            </w:r>
            <w:proofErr w:type="spellStart"/>
            <w:r w:rsidRPr="005E2DF8">
              <w:rPr>
                <w:rFonts w:cstheme="minorHAnsi"/>
              </w:rPr>
              <w:t>ekspertskih</w:t>
            </w:r>
            <w:proofErr w:type="spellEnd"/>
            <w:r w:rsidRPr="005E2DF8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191429B9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35916EE8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AF3C13" w:rsidRPr="00AF3C13" w14:paraId="6BC1B067" w14:textId="77777777" w:rsidTr="00586238">
        <w:tc>
          <w:tcPr>
            <w:tcW w:w="935" w:type="dxa"/>
          </w:tcPr>
          <w:p w14:paraId="3DB8BBAA" w14:textId="00995B0E" w:rsidR="00AF3C13" w:rsidRDefault="00AF3C13" w:rsidP="00AF3C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341" w:type="dxa"/>
          </w:tcPr>
          <w:p w14:paraId="730430D6" w14:textId="2F1BB1E2" w:rsidR="00AF3C13" w:rsidRPr="00586238" w:rsidRDefault="005E2DF8" w:rsidP="00AF3C13">
            <w:pPr>
              <w:spacing w:after="120"/>
              <w:jc w:val="both"/>
              <w:rPr>
                <w:rFonts w:cstheme="minorHAnsi"/>
              </w:rPr>
            </w:pPr>
            <w:r w:rsidRPr="005E2DF8">
              <w:rPr>
                <w:rFonts w:cstheme="minorHAnsi"/>
                <w:b/>
                <w:bCs/>
              </w:rPr>
              <w:t>Direktni kontakt sa potencijalnim klijentima</w:t>
            </w:r>
            <w:r w:rsidRPr="005E2DF8">
              <w:rPr>
                <w:rFonts w:cstheme="minorHAnsi"/>
              </w:rPr>
              <w:t xml:space="preserve"> (</w:t>
            </w:r>
            <w:proofErr w:type="spellStart"/>
            <w:r w:rsidRPr="005E2DF8">
              <w:rPr>
                <w:rFonts w:cstheme="minorHAnsi"/>
              </w:rPr>
              <w:t>outreach</w:t>
            </w:r>
            <w:proofErr w:type="spellEnd"/>
            <w:r w:rsidRPr="005E2DF8">
              <w:rPr>
                <w:rFonts w:cstheme="minorHAnsi"/>
              </w:rPr>
              <w:t xml:space="preserve">): sastanci, prezentacije i </w:t>
            </w:r>
            <w:proofErr w:type="spellStart"/>
            <w:r w:rsidRPr="005E2DF8">
              <w:rPr>
                <w:rFonts w:cstheme="minorHAnsi"/>
              </w:rPr>
              <w:t>follow-up</w:t>
            </w:r>
            <w:proofErr w:type="spellEnd"/>
            <w:r w:rsidRPr="005E2DF8">
              <w:rPr>
                <w:rFonts w:cstheme="minorHAnsi"/>
              </w:rPr>
              <w:t xml:space="preserve"> komunikacija (2</w:t>
            </w:r>
            <w:r w:rsidR="00501DFB">
              <w:rPr>
                <w:rFonts w:cstheme="minorHAnsi"/>
              </w:rPr>
              <w:t>5</w:t>
            </w:r>
            <w:r w:rsidRPr="005E2DF8">
              <w:rPr>
                <w:rFonts w:cstheme="minorHAnsi"/>
              </w:rPr>
              <w:t xml:space="preserve"> </w:t>
            </w:r>
            <w:proofErr w:type="spellStart"/>
            <w:r w:rsidRPr="005E2DF8">
              <w:rPr>
                <w:rFonts w:cstheme="minorHAnsi"/>
              </w:rPr>
              <w:t>ekspertskih</w:t>
            </w:r>
            <w:proofErr w:type="spellEnd"/>
            <w:r w:rsidRPr="005E2DF8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02D277E8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5F4EC3FD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AF3C13" w:rsidRPr="00AF3C13" w14:paraId="4EE00752" w14:textId="77777777" w:rsidTr="00586238">
        <w:tc>
          <w:tcPr>
            <w:tcW w:w="935" w:type="dxa"/>
          </w:tcPr>
          <w:p w14:paraId="56C1EACD" w14:textId="0385A9B0" w:rsidR="00AF3C13" w:rsidRDefault="00AF3C13" w:rsidP="00AF3C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341" w:type="dxa"/>
          </w:tcPr>
          <w:p w14:paraId="6859AE3C" w14:textId="5483E7B8" w:rsidR="00AF3C13" w:rsidRPr="00586238" w:rsidRDefault="005E2DF8" w:rsidP="00AF3C13">
            <w:pPr>
              <w:spacing w:after="120"/>
              <w:jc w:val="both"/>
              <w:rPr>
                <w:rFonts w:cstheme="minorHAnsi"/>
              </w:rPr>
            </w:pPr>
            <w:r w:rsidRPr="005E2DF8">
              <w:rPr>
                <w:rFonts w:cstheme="minorHAnsi"/>
                <w:b/>
                <w:bCs/>
              </w:rPr>
              <w:t>Podrška u pregovorima i zaključivanju ugovora</w:t>
            </w:r>
            <w:r w:rsidRPr="005E2DF8">
              <w:rPr>
                <w:rFonts w:cstheme="minorHAnsi"/>
              </w:rPr>
              <w:t>: asistencija u komercijalnim pregovorima i priprema ponuda (1</w:t>
            </w:r>
            <w:r w:rsidR="00501DFB">
              <w:rPr>
                <w:rFonts w:cstheme="minorHAnsi"/>
              </w:rPr>
              <w:t>5</w:t>
            </w:r>
            <w:r w:rsidRPr="005E2DF8">
              <w:rPr>
                <w:rFonts w:cstheme="minorHAnsi"/>
              </w:rPr>
              <w:t xml:space="preserve"> </w:t>
            </w:r>
            <w:proofErr w:type="spellStart"/>
            <w:r w:rsidRPr="005E2DF8">
              <w:rPr>
                <w:rFonts w:cstheme="minorHAnsi"/>
              </w:rPr>
              <w:t>ekspertskih</w:t>
            </w:r>
            <w:proofErr w:type="spellEnd"/>
            <w:r w:rsidRPr="005E2DF8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537E25FD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29842DDC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AF3C13" w:rsidRPr="00AF3C13" w14:paraId="60B83126" w14:textId="77777777" w:rsidTr="00586238">
        <w:tc>
          <w:tcPr>
            <w:tcW w:w="935" w:type="dxa"/>
          </w:tcPr>
          <w:p w14:paraId="346D9C4E" w14:textId="15427844" w:rsidR="00AF3C13" w:rsidRDefault="00AF3C13" w:rsidP="00AF3C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341" w:type="dxa"/>
          </w:tcPr>
          <w:p w14:paraId="6C123BA4" w14:textId="635D55A8" w:rsidR="00AF3C13" w:rsidRPr="00586238" w:rsidRDefault="005E2DF8" w:rsidP="00AF3C13">
            <w:pPr>
              <w:spacing w:after="120"/>
              <w:jc w:val="both"/>
              <w:rPr>
                <w:rFonts w:cstheme="minorHAnsi"/>
              </w:rPr>
            </w:pPr>
            <w:r w:rsidRPr="005E2DF8">
              <w:rPr>
                <w:rFonts w:cstheme="minorHAnsi"/>
                <w:b/>
                <w:bCs/>
              </w:rPr>
              <w:t>Monitoring i evaluacija marketinških aktivnosti</w:t>
            </w:r>
            <w:r w:rsidRPr="005E2DF8">
              <w:rPr>
                <w:rFonts w:cstheme="minorHAnsi"/>
              </w:rPr>
              <w:t xml:space="preserve">: </w:t>
            </w:r>
            <w:proofErr w:type="spellStart"/>
            <w:r w:rsidRPr="005E2DF8">
              <w:rPr>
                <w:rFonts w:cstheme="minorHAnsi"/>
              </w:rPr>
              <w:t>izveštavanje</w:t>
            </w:r>
            <w:proofErr w:type="spellEnd"/>
            <w:r w:rsidRPr="005E2DF8">
              <w:rPr>
                <w:rFonts w:cstheme="minorHAnsi"/>
              </w:rPr>
              <w:t xml:space="preserve"> o rezultatima kampanja, analiza KPI i </w:t>
            </w:r>
            <w:proofErr w:type="spellStart"/>
            <w:r w:rsidRPr="005E2DF8">
              <w:rPr>
                <w:rFonts w:cstheme="minorHAnsi"/>
              </w:rPr>
              <w:t>predlog</w:t>
            </w:r>
            <w:proofErr w:type="spellEnd"/>
            <w:r w:rsidRPr="005E2DF8">
              <w:rPr>
                <w:rFonts w:cstheme="minorHAnsi"/>
              </w:rPr>
              <w:t xml:space="preserve"> optimizacije (10 </w:t>
            </w:r>
            <w:proofErr w:type="spellStart"/>
            <w:r w:rsidRPr="005E2DF8">
              <w:rPr>
                <w:rFonts w:cstheme="minorHAnsi"/>
              </w:rPr>
              <w:t>ekspertskih</w:t>
            </w:r>
            <w:proofErr w:type="spellEnd"/>
            <w:r w:rsidRPr="005E2DF8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12870495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60C7814C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AF3C13" w:rsidRPr="00AF3C13" w14:paraId="184FA5DE" w14:textId="77777777" w:rsidTr="00586238">
        <w:tc>
          <w:tcPr>
            <w:tcW w:w="935" w:type="dxa"/>
          </w:tcPr>
          <w:p w14:paraId="42997C47" w14:textId="4F131E16" w:rsidR="00AF3C13" w:rsidRDefault="00AF3C13" w:rsidP="00AF3C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341" w:type="dxa"/>
          </w:tcPr>
          <w:p w14:paraId="1541818B" w14:textId="0EAC09BE" w:rsidR="00AF3C13" w:rsidRPr="00586238" w:rsidRDefault="005E2DF8" w:rsidP="00AF3C13">
            <w:pPr>
              <w:spacing w:after="120"/>
              <w:jc w:val="both"/>
              <w:rPr>
                <w:rFonts w:cstheme="minorHAnsi"/>
              </w:rPr>
            </w:pPr>
            <w:proofErr w:type="spellStart"/>
            <w:r w:rsidRPr="005E2DF8">
              <w:rPr>
                <w:rFonts w:cstheme="minorHAnsi"/>
                <w:b/>
                <w:bCs/>
              </w:rPr>
              <w:t>Konsultantska</w:t>
            </w:r>
            <w:proofErr w:type="spellEnd"/>
            <w:r w:rsidRPr="005E2DF8">
              <w:rPr>
                <w:rFonts w:cstheme="minorHAnsi"/>
                <w:b/>
                <w:bCs/>
              </w:rPr>
              <w:t xml:space="preserve"> podrška menadžmentu projekta</w:t>
            </w:r>
            <w:r w:rsidRPr="005E2DF8">
              <w:rPr>
                <w:rFonts w:cstheme="minorHAnsi"/>
              </w:rPr>
              <w:t xml:space="preserve">: ad </w:t>
            </w:r>
            <w:proofErr w:type="spellStart"/>
            <w:r w:rsidRPr="005E2DF8">
              <w:rPr>
                <w:rFonts w:cstheme="minorHAnsi"/>
              </w:rPr>
              <w:t>hoc</w:t>
            </w:r>
            <w:proofErr w:type="spellEnd"/>
            <w:r w:rsidRPr="005E2DF8">
              <w:rPr>
                <w:rFonts w:cstheme="minorHAnsi"/>
              </w:rPr>
              <w:t xml:space="preserve"> </w:t>
            </w:r>
            <w:proofErr w:type="spellStart"/>
            <w:r w:rsidRPr="005E2DF8">
              <w:rPr>
                <w:rFonts w:cstheme="minorHAnsi"/>
              </w:rPr>
              <w:t>savetovanje</w:t>
            </w:r>
            <w:proofErr w:type="spellEnd"/>
            <w:r w:rsidRPr="005E2DF8">
              <w:rPr>
                <w:rFonts w:cstheme="minorHAnsi"/>
              </w:rPr>
              <w:t>, koordinacija sa timom i strateški input (1</w:t>
            </w:r>
            <w:r w:rsidR="00501DFB">
              <w:rPr>
                <w:rFonts w:cstheme="minorHAnsi"/>
              </w:rPr>
              <w:t>0</w:t>
            </w:r>
            <w:r w:rsidRPr="005E2DF8">
              <w:rPr>
                <w:rFonts w:cstheme="minorHAnsi"/>
              </w:rPr>
              <w:t xml:space="preserve"> </w:t>
            </w:r>
            <w:proofErr w:type="spellStart"/>
            <w:r w:rsidRPr="005E2DF8">
              <w:rPr>
                <w:rFonts w:cstheme="minorHAnsi"/>
              </w:rPr>
              <w:t>ekspertskih</w:t>
            </w:r>
            <w:proofErr w:type="spellEnd"/>
            <w:r w:rsidRPr="005E2DF8">
              <w:rPr>
                <w:rFonts w:cstheme="minorHAnsi"/>
              </w:rPr>
              <w:t xml:space="preserve"> dana).</w:t>
            </w:r>
          </w:p>
        </w:tc>
        <w:tc>
          <w:tcPr>
            <w:tcW w:w="5850" w:type="dxa"/>
          </w:tcPr>
          <w:p w14:paraId="0D136B7E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3D0F8AE1" w14:textId="77777777" w:rsidR="00AF3C13" w:rsidRPr="00AF3C13" w:rsidRDefault="00AF3C13" w:rsidP="00AF3C13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14:paraId="2583A1B4" w14:textId="77777777" w:rsidR="00653A94" w:rsidRPr="00653A94" w:rsidRDefault="00653A94" w:rsidP="00653A94">
      <w:pPr>
        <w:jc w:val="center"/>
        <w:rPr>
          <w:u w:val="single"/>
        </w:rPr>
      </w:pPr>
    </w:p>
    <w:p w14:paraId="0B1365EA" w14:textId="0CB0736B" w:rsidR="000C0AD1" w:rsidRDefault="00CC17F9" w:rsidP="00510814">
      <w:pPr>
        <w:pStyle w:val="ListParagraph"/>
        <w:numPr>
          <w:ilvl w:val="0"/>
          <w:numId w:val="1"/>
        </w:numPr>
      </w:pPr>
      <w:r w:rsidRPr="00CC17F9">
        <w:t xml:space="preserve">Broj predviđenih </w:t>
      </w:r>
      <w:proofErr w:type="spellStart"/>
      <w:r w:rsidRPr="00CC17F9">
        <w:t>ekspertskih</w:t>
      </w:r>
      <w:proofErr w:type="spellEnd"/>
      <w:r w:rsidRPr="00CC17F9">
        <w:t xml:space="preserve"> dana po stavkama je </w:t>
      </w:r>
      <w:proofErr w:type="spellStart"/>
      <w:r w:rsidRPr="00CC17F9">
        <w:t>okviran</w:t>
      </w:r>
      <w:proofErr w:type="spellEnd"/>
      <w:r w:rsidRPr="00CC17F9">
        <w:t xml:space="preserve"> i prvenstveno služi ponuđačima kao informacija o očekivanom obimu posla. Stvarni broj utrošenih </w:t>
      </w:r>
      <w:proofErr w:type="spellStart"/>
      <w:r w:rsidRPr="00CC17F9">
        <w:t>ekspertskih</w:t>
      </w:r>
      <w:proofErr w:type="spellEnd"/>
      <w:r w:rsidRPr="00CC17F9">
        <w:t xml:space="preserve"> dana po stavkama </w:t>
      </w:r>
      <w:proofErr w:type="spellStart"/>
      <w:r w:rsidRPr="00CC17F9">
        <w:t>zavisiće</w:t>
      </w:r>
      <w:proofErr w:type="spellEnd"/>
      <w:r w:rsidRPr="00CC17F9">
        <w:t xml:space="preserve"> od potreba i biće utvrđen kroz dogovor naručioca i izvršioca tokom sprovođenja ugovora. Ukupan broj predviđenih </w:t>
      </w:r>
      <w:proofErr w:type="spellStart"/>
      <w:r w:rsidRPr="00CC17F9">
        <w:t>ekspertskih</w:t>
      </w:r>
      <w:proofErr w:type="spellEnd"/>
      <w:r w:rsidRPr="00CC17F9">
        <w:t xml:space="preserve"> dana za izvršenje cjelokupnog posla iznosi 160. Ugovor će se zaključiti na principu ukupnog fiksnog iznosa za uspješno izvršen posao, a ne na osnovu stvarno utrošenog vremena.</w:t>
      </w:r>
    </w:p>
    <w:sectPr w:rsidR="000C0AD1" w:rsidSect="00EE6F4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2089" w14:textId="77777777" w:rsidR="0020723E" w:rsidRDefault="0020723E" w:rsidP="00BD5960">
      <w:pPr>
        <w:spacing w:after="0" w:line="240" w:lineRule="auto"/>
      </w:pPr>
      <w:r>
        <w:separator/>
      </w:r>
    </w:p>
  </w:endnote>
  <w:endnote w:type="continuationSeparator" w:id="0">
    <w:p w14:paraId="2C29AD76" w14:textId="77777777" w:rsidR="0020723E" w:rsidRDefault="0020723E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0" w:name="_Hlk170124009"/>
          <w:r w:rsidRPr="002840F5">
            <w:rPr>
              <w:rFonts w:ascii="Calibri" w:eastAsia="Calibri" w:hAnsi="Calibri" w:cs="Times New Roman"/>
              <w:noProof/>
              <w:lang w:val="sr-Latn-ME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 xml:space="preserve">Projekat je </w:t>
          </w:r>
          <w:proofErr w:type="spellStart"/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sufinansiran</w:t>
          </w:r>
          <w:proofErr w:type="spellEnd"/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 xml:space="preserve">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0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2A6C" w14:textId="77777777" w:rsidR="0020723E" w:rsidRDefault="0020723E" w:rsidP="00BD5960">
      <w:pPr>
        <w:spacing w:after="0" w:line="240" w:lineRule="auto"/>
      </w:pPr>
      <w:r>
        <w:separator/>
      </w:r>
    </w:p>
  </w:footnote>
  <w:footnote w:type="continuationSeparator" w:id="0">
    <w:p w14:paraId="26D1047A" w14:textId="77777777" w:rsidR="0020723E" w:rsidRDefault="0020723E" w:rsidP="00BD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84C55"/>
    <w:multiLevelType w:val="hybridMultilevel"/>
    <w:tmpl w:val="585E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6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1"/>
    <w:rsid w:val="00017E0A"/>
    <w:rsid w:val="00036691"/>
    <w:rsid w:val="00044B4D"/>
    <w:rsid w:val="00061977"/>
    <w:rsid w:val="000C0AD1"/>
    <w:rsid w:val="000C498D"/>
    <w:rsid w:val="00191BA9"/>
    <w:rsid w:val="0020723E"/>
    <w:rsid w:val="00211BB9"/>
    <w:rsid w:val="00273DB3"/>
    <w:rsid w:val="002840F5"/>
    <w:rsid w:val="002E6240"/>
    <w:rsid w:val="003E12C9"/>
    <w:rsid w:val="00501DFB"/>
    <w:rsid w:val="00510814"/>
    <w:rsid w:val="00534321"/>
    <w:rsid w:val="00545746"/>
    <w:rsid w:val="00586238"/>
    <w:rsid w:val="005E2DF8"/>
    <w:rsid w:val="00653A94"/>
    <w:rsid w:val="007313FD"/>
    <w:rsid w:val="007536CA"/>
    <w:rsid w:val="00793150"/>
    <w:rsid w:val="00812594"/>
    <w:rsid w:val="008609C3"/>
    <w:rsid w:val="00A117BD"/>
    <w:rsid w:val="00A74D3A"/>
    <w:rsid w:val="00A94E88"/>
    <w:rsid w:val="00AF3C13"/>
    <w:rsid w:val="00BC072D"/>
    <w:rsid w:val="00BD5960"/>
    <w:rsid w:val="00C04425"/>
    <w:rsid w:val="00C14E68"/>
    <w:rsid w:val="00C1554D"/>
    <w:rsid w:val="00CC17F9"/>
    <w:rsid w:val="00D31874"/>
    <w:rsid w:val="00D46921"/>
    <w:rsid w:val="00D63D86"/>
    <w:rsid w:val="00E9548C"/>
    <w:rsid w:val="00EE1085"/>
    <w:rsid w:val="00E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  <w:style w:type="paragraph" w:styleId="ListParagraph">
    <w:name w:val="List Paragraph"/>
    <w:basedOn w:val="Normal"/>
    <w:uiPriority w:val="34"/>
    <w:qFormat/>
    <w:rsid w:val="0050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Denis Slatina</cp:lastModifiedBy>
  <cp:revision>13</cp:revision>
  <dcterms:created xsi:type="dcterms:W3CDTF">2021-05-24T12:27:00Z</dcterms:created>
  <dcterms:modified xsi:type="dcterms:W3CDTF">2026-03-26T08:27:00Z</dcterms:modified>
</cp:coreProperties>
</file>